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42AEB" w14:textId="77777777" w:rsidR="00121CA3" w:rsidRDefault="00121CA3" w:rsidP="00121CA3">
      <w:pPr>
        <w:pStyle w:val="Heading5"/>
        <w:shd w:val="clear" w:color="auto" w:fill="FFFFFF"/>
        <w:spacing w:before="60" w:beforeAutospacing="0" w:after="60" w:afterAutospacing="0"/>
        <w:rPr>
          <w:rFonts w:asciiTheme="minorHAnsi" w:hAnsiTheme="minorHAnsi" w:cstheme="minorHAnsi"/>
          <w:b w:val="0"/>
          <w:sz w:val="22"/>
          <w:szCs w:val="22"/>
        </w:rPr>
      </w:pPr>
      <w:r>
        <w:rPr>
          <w:rFonts w:asciiTheme="minorHAnsi" w:hAnsiTheme="minorHAnsi" w:cstheme="minorHAnsi"/>
          <w:b w:val="0"/>
          <w:sz w:val="22"/>
          <w:szCs w:val="22"/>
        </w:rPr>
        <w:t>174</w:t>
      </w:r>
    </w:p>
    <w:p w14:paraId="04BF3A7D" w14:textId="77777777" w:rsidR="00121CA3" w:rsidRDefault="00121CA3" w:rsidP="00121CA3">
      <w:pPr>
        <w:pStyle w:val="Heading5"/>
        <w:shd w:val="clear" w:color="auto" w:fill="FFFFFF"/>
        <w:spacing w:before="60" w:beforeAutospacing="0" w:after="60" w:afterAutospacing="0"/>
        <w:rPr>
          <w:rFonts w:asciiTheme="minorHAnsi" w:hAnsiTheme="minorHAnsi" w:cstheme="minorHAnsi"/>
          <w:b w:val="0"/>
          <w:sz w:val="22"/>
          <w:szCs w:val="22"/>
        </w:rPr>
      </w:pPr>
      <w:r w:rsidRPr="004F0A3E">
        <w:rPr>
          <w:rFonts w:asciiTheme="minorHAnsi" w:hAnsiTheme="minorHAnsi" w:cstheme="minorHAnsi"/>
          <w:b w:val="0"/>
          <w:sz w:val="22"/>
          <w:szCs w:val="22"/>
        </w:rPr>
        <w:t xml:space="preserve">Subramanian, A., </w:t>
      </w:r>
      <w:proofErr w:type="spellStart"/>
      <w:r w:rsidRPr="004F0A3E">
        <w:rPr>
          <w:rFonts w:asciiTheme="minorHAnsi" w:hAnsiTheme="minorHAnsi" w:cstheme="minorHAnsi"/>
          <w:b w:val="0"/>
          <w:sz w:val="22"/>
          <w:szCs w:val="22"/>
        </w:rPr>
        <w:t>Lupien</w:t>
      </w:r>
      <w:proofErr w:type="spellEnd"/>
      <w:r w:rsidRPr="004F0A3E">
        <w:rPr>
          <w:rFonts w:asciiTheme="minorHAnsi" w:hAnsiTheme="minorHAnsi" w:cstheme="minorHAnsi"/>
          <w:b w:val="0"/>
          <w:sz w:val="22"/>
          <w:szCs w:val="22"/>
        </w:rPr>
        <w:t xml:space="preserve">, R., Russell, J., Potts, R., </w:t>
      </w:r>
      <w:proofErr w:type="spellStart"/>
      <w:r w:rsidRPr="004F0A3E">
        <w:rPr>
          <w:rFonts w:asciiTheme="minorHAnsi" w:hAnsiTheme="minorHAnsi" w:cstheme="minorHAnsi"/>
          <w:b w:val="0"/>
          <w:sz w:val="22"/>
          <w:szCs w:val="22"/>
        </w:rPr>
        <w:t>Deino</w:t>
      </w:r>
      <w:proofErr w:type="spellEnd"/>
      <w:r w:rsidRPr="004F0A3E">
        <w:rPr>
          <w:rFonts w:asciiTheme="minorHAnsi" w:hAnsiTheme="minorHAnsi" w:cstheme="minorHAnsi"/>
          <w:b w:val="0"/>
          <w:sz w:val="22"/>
          <w:szCs w:val="22"/>
        </w:rPr>
        <w:t xml:space="preserve">, A.L., </w:t>
      </w:r>
      <w:proofErr w:type="spellStart"/>
      <w:r w:rsidRPr="004F0A3E">
        <w:rPr>
          <w:rFonts w:asciiTheme="minorHAnsi" w:hAnsiTheme="minorHAnsi" w:cstheme="minorHAnsi"/>
          <w:b w:val="0"/>
          <w:sz w:val="22"/>
          <w:szCs w:val="22"/>
        </w:rPr>
        <w:t>Behrensmeyer</w:t>
      </w:r>
      <w:proofErr w:type="spellEnd"/>
      <w:r w:rsidRPr="004F0A3E">
        <w:rPr>
          <w:rFonts w:asciiTheme="minorHAnsi" w:hAnsiTheme="minorHAnsi" w:cstheme="minorHAnsi"/>
          <w:b w:val="0"/>
          <w:sz w:val="22"/>
          <w:szCs w:val="22"/>
        </w:rPr>
        <w:t>, A.</w:t>
      </w:r>
      <w:r>
        <w:rPr>
          <w:rFonts w:asciiTheme="minorHAnsi" w:hAnsiTheme="minorHAnsi" w:cstheme="minorHAnsi"/>
          <w:b w:val="0"/>
          <w:sz w:val="22"/>
          <w:szCs w:val="22"/>
        </w:rPr>
        <w:t xml:space="preserve"> </w:t>
      </w:r>
      <w:r w:rsidRPr="004F0A3E">
        <w:rPr>
          <w:rFonts w:asciiTheme="minorHAnsi" w:hAnsiTheme="minorHAnsi" w:cstheme="minorHAnsi"/>
          <w:b w:val="0"/>
          <w:sz w:val="22"/>
          <w:szCs w:val="22"/>
        </w:rPr>
        <w:t xml:space="preserve">K., and </w:t>
      </w:r>
      <w:proofErr w:type="spellStart"/>
      <w:r w:rsidRPr="004F0A3E">
        <w:rPr>
          <w:rFonts w:asciiTheme="minorHAnsi" w:hAnsiTheme="minorHAnsi" w:cstheme="minorHAnsi"/>
          <w:b w:val="0"/>
          <w:sz w:val="22"/>
          <w:szCs w:val="22"/>
        </w:rPr>
        <w:t>Dommain</w:t>
      </w:r>
      <w:proofErr w:type="spellEnd"/>
      <w:r w:rsidRPr="004F0A3E">
        <w:rPr>
          <w:rFonts w:asciiTheme="minorHAnsi" w:hAnsiTheme="minorHAnsi" w:cstheme="minorHAnsi"/>
          <w:b w:val="0"/>
          <w:sz w:val="22"/>
          <w:szCs w:val="22"/>
        </w:rPr>
        <w:t>, R.</w:t>
      </w:r>
      <w:r>
        <w:rPr>
          <w:rFonts w:asciiTheme="minorHAnsi" w:hAnsiTheme="minorHAnsi" w:cstheme="minorHAnsi"/>
          <w:b w:val="0"/>
          <w:sz w:val="22"/>
          <w:szCs w:val="22"/>
        </w:rPr>
        <w:t xml:space="preserve"> (</w:t>
      </w:r>
      <w:r w:rsidRPr="004F0A3E">
        <w:rPr>
          <w:rFonts w:asciiTheme="minorHAnsi" w:hAnsiTheme="minorHAnsi" w:cstheme="minorHAnsi"/>
          <w:b w:val="0"/>
          <w:sz w:val="22"/>
          <w:szCs w:val="22"/>
        </w:rPr>
        <w:t>2018</w:t>
      </w:r>
      <w:r>
        <w:rPr>
          <w:rFonts w:asciiTheme="minorHAnsi" w:hAnsiTheme="minorHAnsi" w:cstheme="minorHAnsi"/>
          <w:b w:val="0"/>
          <w:sz w:val="22"/>
          <w:szCs w:val="22"/>
        </w:rPr>
        <w:t>).</w:t>
      </w:r>
      <w:r w:rsidRPr="004F0A3E">
        <w:rPr>
          <w:rFonts w:asciiTheme="minorHAnsi" w:hAnsiTheme="minorHAnsi" w:cstheme="minorHAnsi"/>
          <w:b w:val="0"/>
          <w:sz w:val="22"/>
          <w:szCs w:val="22"/>
        </w:rPr>
        <w:t xml:space="preserve"> </w:t>
      </w:r>
      <w:r w:rsidRPr="004F0A3E">
        <w:rPr>
          <w:rFonts w:asciiTheme="minorHAnsi" w:hAnsiTheme="minorHAnsi" w:cstheme="minorHAnsi"/>
          <w:b w:val="0"/>
          <w:sz w:val="22"/>
          <w:szCs w:val="22"/>
          <w:bdr w:val="none" w:sz="0" w:space="0" w:color="auto" w:frame="1"/>
        </w:rPr>
        <w:t>PP31C-1677: </w:t>
      </w:r>
      <w:r w:rsidRPr="004F0A3E">
        <w:rPr>
          <w:rFonts w:asciiTheme="minorHAnsi" w:hAnsiTheme="minorHAnsi" w:cstheme="minorHAnsi"/>
          <w:b w:val="0"/>
          <w:sz w:val="22"/>
          <w:szCs w:val="22"/>
        </w:rPr>
        <w:t xml:space="preserve">Middle to Late Pleistocene Paleoenvironmental Variations at the </w:t>
      </w:r>
      <w:proofErr w:type="spellStart"/>
      <w:r w:rsidRPr="004F0A3E">
        <w:rPr>
          <w:rFonts w:asciiTheme="minorHAnsi" w:hAnsiTheme="minorHAnsi" w:cstheme="minorHAnsi"/>
          <w:b w:val="0"/>
          <w:sz w:val="22"/>
          <w:szCs w:val="22"/>
        </w:rPr>
        <w:t>Olorgesailie</w:t>
      </w:r>
      <w:proofErr w:type="spellEnd"/>
      <w:r w:rsidRPr="004F0A3E">
        <w:rPr>
          <w:rFonts w:asciiTheme="minorHAnsi" w:hAnsiTheme="minorHAnsi" w:cstheme="minorHAnsi"/>
          <w:b w:val="0"/>
          <w:sz w:val="22"/>
          <w:szCs w:val="22"/>
        </w:rPr>
        <w:t xml:space="preserve"> Basin, Kenya</w:t>
      </w:r>
      <w:r>
        <w:rPr>
          <w:rFonts w:asciiTheme="minorHAnsi" w:hAnsiTheme="minorHAnsi" w:cstheme="minorHAnsi"/>
          <w:b w:val="0"/>
          <w:sz w:val="22"/>
          <w:szCs w:val="22"/>
        </w:rPr>
        <w:t>. AGU Fall Meeting, Washington, D.C.</w:t>
      </w:r>
    </w:p>
    <w:p w14:paraId="37337AF8" w14:textId="77777777" w:rsidR="00121CA3" w:rsidRPr="004F0A3E" w:rsidRDefault="00121CA3" w:rsidP="00121CA3">
      <w:pPr>
        <w:pStyle w:val="Heading5"/>
        <w:shd w:val="clear" w:color="auto" w:fill="FFFFFF"/>
        <w:spacing w:before="60" w:beforeAutospacing="0" w:after="60" w:afterAutospacing="0"/>
        <w:rPr>
          <w:rFonts w:asciiTheme="minorHAnsi" w:hAnsiTheme="minorHAnsi" w:cstheme="minorHAnsi"/>
          <w:b w:val="0"/>
          <w:sz w:val="22"/>
          <w:szCs w:val="22"/>
        </w:rPr>
      </w:pPr>
    </w:p>
    <w:p w14:paraId="4D01405A" w14:textId="77777777" w:rsidR="00121CA3" w:rsidRPr="00DF6AFC" w:rsidRDefault="00121CA3" w:rsidP="00121CA3">
      <w:pPr>
        <w:spacing w:after="0" w:line="264" w:lineRule="atLeast"/>
        <w:rPr>
          <w:rFonts w:eastAsia="Times New Roman" w:cstheme="minorHAnsi"/>
        </w:rPr>
      </w:pPr>
      <w:r w:rsidRPr="008371A0">
        <w:rPr>
          <w:rFonts w:cstheme="minorHAnsi"/>
          <w:shd w:val="clear" w:color="auto" w:fill="FFFFFF"/>
        </w:rPr>
        <w:t xml:space="preserve">Climatic changes in tropical Africa are hypothesized to have influenced the evolution of humans during the </w:t>
      </w:r>
      <w:proofErr w:type="spellStart"/>
      <w:r w:rsidRPr="008371A0">
        <w:rPr>
          <w:rFonts w:cstheme="minorHAnsi"/>
          <w:shd w:val="clear" w:color="auto" w:fill="FFFFFF"/>
        </w:rPr>
        <w:t>Plio</w:t>
      </w:r>
      <w:proofErr w:type="spellEnd"/>
      <w:r w:rsidRPr="008371A0">
        <w:rPr>
          <w:rFonts w:cstheme="minorHAnsi"/>
          <w:shd w:val="clear" w:color="auto" w:fill="FFFFFF"/>
        </w:rPr>
        <w:t>-Pleistocene. A lack of terrestrial paleoclimatic records from East Africa, however, makes testing this hypothesis difficult. Here we examine a record of the carbon isotopic composition of sedimentary organic matter (δ</w:t>
      </w:r>
      <w:r w:rsidRPr="008371A0">
        <w:rPr>
          <w:rFonts w:cstheme="minorHAnsi"/>
          <w:bdr w:val="none" w:sz="0" w:space="0" w:color="auto" w:frame="1"/>
          <w:shd w:val="clear" w:color="auto" w:fill="FFFFFF"/>
          <w:vertAlign w:val="superscript"/>
        </w:rPr>
        <w:t>13</w:t>
      </w:r>
      <w:r w:rsidRPr="008371A0">
        <w:rPr>
          <w:rFonts w:cstheme="minorHAnsi"/>
          <w:shd w:val="clear" w:color="auto" w:fill="FFFFFF"/>
        </w:rPr>
        <w:t>C</w:t>
      </w:r>
      <w:r w:rsidRPr="008371A0">
        <w:rPr>
          <w:rFonts w:cstheme="minorHAnsi"/>
          <w:bdr w:val="none" w:sz="0" w:space="0" w:color="auto" w:frame="1"/>
          <w:shd w:val="clear" w:color="auto" w:fill="FFFFFF"/>
          <w:vertAlign w:val="subscript"/>
        </w:rPr>
        <w:t>bulk</w:t>
      </w:r>
      <w:r w:rsidRPr="008371A0">
        <w:rPr>
          <w:rFonts w:cstheme="minorHAnsi"/>
          <w:shd w:val="clear" w:color="auto" w:fill="FFFFFF"/>
        </w:rPr>
        <w:t>) and terrestrial plant waxes (δ</w:t>
      </w:r>
      <w:r w:rsidRPr="008371A0">
        <w:rPr>
          <w:rFonts w:cstheme="minorHAnsi"/>
          <w:bdr w:val="none" w:sz="0" w:space="0" w:color="auto" w:frame="1"/>
          <w:shd w:val="clear" w:color="auto" w:fill="FFFFFF"/>
          <w:vertAlign w:val="superscript"/>
        </w:rPr>
        <w:t>13</w:t>
      </w:r>
      <w:r w:rsidRPr="008371A0">
        <w:rPr>
          <w:rFonts w:cstheme="minorHAnsi"/>
          <w:shd w:val="clear" w:color="auto" w:fill="FFFFFF"/>
        </w:rPr>
        <w:t>C</w:t>
      </w:r>
      <w:r w:rsidRPr="008371A0">
        <w:rPr>
          <w:rFonts w:cstheme="minorHAnsi"/>
          <w:bdr w:val="none" w:sz="0" w:space="0" w:color="auto" w:frame="1"/>
          <w:shd w:val="clear" w:color="auto" w:fill="FFFFFF"/>
          <w:vertAlign w:val="subscript"/>
        </w:rPr>
        <w:t>wax</w:t>
      </w:r>
      <w:r w:rsidRPr="008371A0">
        <w:rPr>
          <w:rFonts w:cstheme="minorHAnsi"/>
          <w:shd w:val="clear" w:color="auto" w:fill="FFFFFF"/>
        </w:rPr>
        <w:t xml:space="preserve">) spanning the last ~ 1 Ma from a core located immediately adjacent to the </w:t>
      </w:r>
      <w:proofErr w:type="spellStart"/>
      <w:r w:rsidRPr="008371A0">
        <w:rPr>
          <w:rFonts w:cstheme="minorHAnsi"/>
          <w:shd w:val="clear" w:color="auto" w:fill="FFFFFF"/>
        </w:rPr>
        <w:t>Olorgesailie</w:t>
      </w:r>
      <w:proofErr w:type="spellEnd"/>
      <w:r w:rsidRPr="008371A0">
        <w:rPr>
          <w:rFonts w:cstheme="minorHAnsi"/>
          <w:shd w:val="clear" w:color="auto" w:fill="FFFFFF"/>
        </w:rPr>
        <w:t xml:space="preserve"> Basin, an ancient lake basin in southern Kenya with a well-documented history of early human activity. The δ</w:t>
      </w:r>
      <w:r w:rsidRPr="008371A0">
        <w:rPr>
          <w:rFonts w:cstheme="minorHAnsi"/>
          <w:bdr w:val="none" w:sz="0" w:space="0" w:color="auto" w:frame="1"/>
          <w:shd w:val="clear" w:color="auto" w:fill="FFFFFF"/>
          <w:vertAlign w:val="superscript"/>
        </w:rPr>
        <w:t>13</w:t>
      </w:r>
      <w:r w:rsidRPr="008371A0">
        <w:rPr>
          <w:rFonts w:cstheme="minorHAnsi"/>
          <w:shd w:val="clear" w:color="auto" w:fill="FFFFFF"/>
        </w:rPr>
        <w:t>C record exhibits intervals of high amplitude variability corresponding to periods of high amplitude variation in tropical insolation, most prominently in the interval between 180–260 ka. Spectral analyses find a persistent and statistically robust signal in δ</w:t>
      </w:r>
      <w:r w:rsidRPr="008371A0">
        <w:rPr>
          <w:rFonts w:cstheme="minorHAnsi"/>
          <w:bdr w:val="none" w:sz="0" w:space="0" w:color="auto" w:frame="1"/>
          <w:shd w:val="clear" w:color="auto" w:fill="FFFFFF"/>
          <w:vertAlign w:val="superscript"/>
        </w:rPr>
        <w:t>13</w:t>
      </w:r>
      <w:r w:rsidRPr="008371A0">
        <w:rPr>
          <w:rFonts w:cstheme="minorHAnsi"/>
          <w:shd w:val="clear" w:color="auto" w:fill="FFFFFF"/>
        </w:rPr>
        <w:t>C</w:t>
      </w:r>
      <w:r w:rsidRPr="008371A0">
        <w:rPr>
          <w:rFonts w:cstheme="minorHAnsi"/>
          <w:bdr w:val="none" w:sz="0" w:space="0" w:color="auto" w:frame="1"/>
          <w:shd w:val="clear" w:color="auto" w:fill="FFFFFF"/>
          <w:vertAlign w:val="subscript"/>
        </w:rPr>
        <w:t>bulk</w:t>
      </w:r>
      <w:r w:rsidRPr="008371A0">
        <w:rPr>
          <w:rFonts w:cstheme="minorHAnsi"/>
          <w:shd w:val="clear" w:color="auto" w:fill="FFFFFF"/>
        </w:rPr>
        <w:t xml:space="preserve"> at the periodicities between 19–23 </w:t>
      </w:r>
      <w:proofErr w:type="spellStart"/>
      <w:r w:rsidRPr="008371A0">
        <w:rPr>
          <w:rFonts w:cstheme="minorHAnsi"/>
          <w:shd w:val="clear" w:color="auto" w:fill="FFFFFF"/>
        </w:rPr>
        <w:t>kyr</w:t>
      </w:r>
      <w:proofErr w:type="spellEnd"/>
      <w:r w:rsidRPr="008371A0">
        <w:rPr>
          <w:rFonts w:cstheme="minorHAnsi"/>
          <w:shd w:val="clear" w:color="auto" w:fill="FFFFFF"/>
        </w:rPr>
        <w:t xml:space="preserve">, corresponding to orbital precession, supporting the hypothesis that seasonal insolation changes exert a dominant influence on the East African monsoon. The spectral analyses also reveal weaker signals at periodicities corresponding to the Earth’s orbital obliquity and eccentricity, suggesting the potential influence of high latitude glacial-interglacial cycles on climatic variability at </w:t>
      </w:r>
      <w:proofErr w:type="spellStart"/>
      <w:r w:rsidRPr="008371A0">
        <w:rPr>
          <w:rFonts w:cstheme="minorHAnsi"/>
          <w:shd w:val="clear" w:color="auto" w:fill="FFFFFF"/>
        </w:rPr>
        <w:t>Olorgesailie</w:t>
      </w:r>
      <w:proofErr w:type="spellEnd"/>
      <w:r w:rsidRPr="008371A0">
        <w:rPr>
          <w:rFonts w:cstheme="minorHAnsi"/>
          <w:shd w:val="clear" w:color="auto" w:fill="FFFFFF"/>
        </w:rPr>
        <w:t>. The high variability interval between 180–260 ka in the δ</w:t>
      </w:r>
      <w:r w:rsidRPr="008371A0">
        <w:rPr>
          <w:rFonts w:cstheme="minorHAnsi"/>
          <w:bdr w:val="none" w:sz="0" w:space="0" w:color="auto" w:frame="1"/>
          <w:shd w:val="clear" w:color="auto" w:fill="FFFFFF"/>
          <w:vertAlign w:val="superscript"/>
        </w:rPr>
        <w:t>13</w:t>
      </w:r>
      <w:r w:rsidRPr="008371A0">
        <w:rPr>
          <w:rFonts w:cstheme="minorHAnsi"/>
          <w:shd w:val="clear" w:color="auto" w:fill="FFFFFF"/>
        </w:rPr>
        <w:t>C</w:t>
      </w:r>
      <w:r w:rsidRPr="008371A0">
        <w:rPr>
          <w:rFonts w:cstheme="minorHAnsi"/>
          <w:bdr w:val="none" w:sz="0" w:space="0" w:color="auto" w:frame="1"/>
          <w:shd w:val="clear" w:color="auto" w:fill="FFFFFF"/>
          <w:vertAlign w:val="subscript"/>
        </w:rPr>
        <w:t>bulk</w:t>
      </w:r>
      <w:r w:rsidRPr="008371A0">
        <w:rPr>
          <w:rFonts w:cstheme="minorHAnsi"/>
          <w:shd w:val="clear" w:color="auto" w:fill="FFFFFF"/>
        </w:rPr>
        <w:t> record corresponds with the interval during which the earliest </w:t>
      </w:r>
      <w:r w:rsidRPr="008371A0">
        <w:rPr>
          <w:rStyle w:val="Emphasis"/>
          <w:rFonts w:cstheme="minorHAnsi"/>
          <w:bdr w:val="none" w:sz="0" w:space="0" w:color="auto" w:frame="1"/>
          <w:shd w:val="clear" w:color="auto" w:fill="FFFFFF"/>
        </w:rPr>
        <w:t>Homo sapiens</w:t>
      </w:r>
      <w:r w:rsidRPr="008371A0">
        <w:rPr>
          <w:rFonts w:cstheme="minorHAnsi"/>
          <w:shd w:val="clear" w:color="auto" w:fill="FFFFFF"/>
        </w:rPr>
        <w:t> is thought to have appeared (between ~160–315 ka), suggesting the influence of environmental variability during this interval on the evolution of modern humans.</w:t>
      </w:r>
    </w:p>
    <w:p w14:paraId="1BAAD6DB" w14:textId="4CC76F38" w:rsidR="00F82D4B" w:rsidRPr="00121CA3" w:rsidRDefault="00F82D4B" w:rsidP="00121CA3">
      <w:bookmarkStart w:id="0" w:name="_GoBack"/>
      <w:bookmarkEnd w:id="0"/>
    </w:p>
    <w:sectPr w:rsidR="00F82D4B" w:rsidRPr="00121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B4"/>
    <w:rsid w:val="00002B28"/>
    <w:rsid w:val="00050F10"/>
    <w:rsid w:val="000A1BB4"/>
    <w:rsid w:val="00121CA3"/>
    <w:rsid w:val="002913F2"/>
    <w:rsid w:val="003C7014"/>
    <w:rsid w:val="003D47CC"/>
    <w:rsid w:val="00464F82"/>
    <w:rsid w:val="006C0F5E"/>
    <w:rsid w:val="00911F32"/>
    <w:rsid w:val="00C05D56"/>
    <w:rsid w:val="00F8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B64B"/>
  <w15:chartTrackingRefBased/>
  <w15:docId w15:val="{1FF8E2A8-C668-4998-ACA8-A286148C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CA3"/>
  </w:style>
  <w:style w:type="paragraph" w:styleId="Heading5">
    <w:name w:val="heading 5"/>
    <w:basedOn w:val="Normal"/>
    <w:link w:val="Heading5Char"/>
    <w:uiPriority w:val="9"/>
    <w:qFormat/>
    <w:rsid w:val="000A1B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A1BB4"/>
    <w:rPr>
      <w:rFonts w:ascii="Times New Roman" w:eastAsia="Times New Roman" w:hAnsi="Times New Roman" w:cs="Times New Roman"/>
      <w:b/>
      <w:bCs/>
      <w:sz w:val="20"/>
      <w:szCs w:val="20"/>
    </w:rPr>
  </w:style>
  <w:style w:type="character" w:customStyle="1" w:styleId="sessionlistnumber">
    <w:name w:val="sessionlistnumber"/>
    <w:basedOn w:val="DefaultParagraphFont"/>
    <w:rsid w:val="000A1BB4"/>
  </w:style>
  <w:style w:type="character" w:customStyle="1" w:styleId="sessionlisttitle">
    <w:name w:val="sessionlisttitle"/>
    <w:basedOn w:val="DefaultParagraphFont"/>
    <w:rsid w:val="000A1BB4"/>
  </w:style>
  <w:style w:type="character" w:customStyle="1" w:styleId="topdisplay">
    <w:name w:val="topdisplay"/>
    <w:basedOn w:val="DefaultParagraphFont"/>
    <w:rsid w:val="000A1BB4"/>
  </w:style>
  <w:style w:type="character" w:styleId="Emphasis">
    <w:name w:val="Emphasis"/>
    <w:basedOn w:val="DefaultParagraphFont"/>
    <w:uiPriority w:val="20"/>
    <w:qFormat/>
    <w:rsid w:val="00002B28"/>
    <w:rPr>
      <w:i/>
      <w:iCs/>
    </w:rPr>
  </w:style>
  <w:style w:type="character" w:customStyle="1" w:styleId="finalpapernumber">
    <w:name w:val="finalpapernumber"/>
    <w:basedOn w:val="DefaultParagraphFont"/>
    <w:rsid w:val="00002B28"/>
  </w:style>
  <w:style w:type="character" w:customStyle="1" w:styleId="paperlisttitle">
    <w:name w:val="paperlisttitle"/>
    <w:basedOn w:val="DefaultParagraphFont"/>
    <w:rsid w:val="0000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2</cp:revision>
  <dcterms:created xsi:type="dcterms:W3CDTF">2019-01-03T19:23:00Z</dcterms:created>
  <dcterms:modified xsi:type="dcterms:W3CDTF">2019-01-03T19:23:00Z</dcterms:modified>
</cp:coreProperties>
</file>